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4lu1mfansz41" w:id="0"/>
      <w:bookmarkEnd w:id="0"/>
      <w:r w:rsidDel="00000000" w:rsidR="00000000" w:rsidRPr="00000000">
        <w:rPr>
          <w:rtl w:val="0"/>
        </w:rPr>
        <w:t xml:space="preserve">Memorandum</w:t>
      </w:r>
    </w:p>
    <w:p w:rsidR="00000000" w:rsidDel="00000000" w:rsidP="00000000" w:rsidRDefault="00000000" w:rsidRPr="00000000" w14:paraId="00000002">
      <w:pPr>
        <w:pStyle w:val="Subtitle"/>
        <w:spacing w:after="160" w:lineRule="auto"/>
        <w:jc w:val="center"/>
        <w:rPr>
          <w:sz w:val="24"/>
          <w:szCs w:val="24"/>
        </w:rPr>
      </w:pPr>
      <w:bookmarkStart w:colFirst="0" w:colLast="0" w:name="_rsat6zu8ity7" w:id="1"/>
      <w:bookmarkEnd w:id="1"/>
      <w:r w:rsidDel="00000000" w:rsidR="00000000" w:rsidRPr="00000000">
        <w:rPr>
          <w:sz w:val="24"/>
          <w:szCs w:val="24"/>
          <w:rtl w:val="0"/>
        </w:rPr>
        <w:t xml:space="preserve">Vendor VPAT Requirement</w:t>
      </w:r>
    </w:p>
    <w:p w:rsidR="00000000" w:rsidDel="00000000" w:rsidP="00000000" w:rsidRDefault="00000000" w:rsidRPr="00000000" w14:paraId="00000003">
      <w:pPr>
        <w:rPr>
          <w:rFonts w:ascii="Georgia" w:cs="Georgia" w:eastAsia="Georgia" w:hAnsi="Georgia"/>
          <w:color w:val="333333"/>
          <w:sz w:val="22"/>
          <w:szCs w:val="22"/>
        </w:rPr>
      </w:pPr>
      <w:r w:rsidDel="00000000" w:rsidR="00000000" w:rsidRPr="00000000">
        <w:rPr>
          <w:rFonts w:ascii="Georgia" w:cs="Georgia" w:eastAsia="Georgia" w:hAnsi="Georgia"/>
          <w:color w:val="333333"/>
          <w:sz w:val="22"/>
          <w:szCs w:val="22"/>
          <w:rtl w:val="0"/>
        </w:rPr>
        <w:t xml:space="preserve"> </w:t>
      </w:r>
    </w:p>
    <w:p w:rsidR="00000000" w:rsidDel="00000000" w:rsidP="00000000" w:rsidRDefault="00000000" w:rsidRPr="00000000" w14:paraId="00000004">
      <w:pPr>
        <w:rPr>
          <w:color w:val="333333"/>
          <w:sz w:val="22"/>
          <w:szCs w:val="22"/>
        </w:rPr>
      </w:pPr>
      <w:r w:rsidDel="00000000" w:rsidR="00000000" w:rsidRPr="00000000">
        <w:rPr>
          <w:color w:val="333333"/>
          <w:sz w:val="22"/>
          <w:szCs w:val="22"/>
          <w:rtl w:val="0"/>
        </w:rPr>
        <w:t xml:space="preserve">We at the University of Tennessee adhere to an accessibility materials procurement policy whereby we are responsible to ensure that all of our instructional materials and technology are usable and accessible by all intended users.</w:t>
      </w:r>
    </w:p>
    <w:p w:rsidR="00000000" w:rsidDel="00000000" w:rsidP="00000000" w:rsidRDefault="00000000" w:rsidRPr="00000000" w14:paraId="00000005">
      <w:pPr>
        <w:rPr>
          <w:color w:val="333333"/>
          <w:sz w:val="22"/>
          <w:szCs w:val="22"/>
        </w:rPr>
      </w:pPr>
      <w:r w:rsidDel="00000000" w:rsidR="00000000" w:rsidRPr="00000000">
        <w:rPr>
          <w:color w:val="333333"/>
          <w:sz w:val="22"/>
          <w:szCs w:val="22"/>
          <w:rtl w:val="0"/>
        </w:rPr>
        <w:t xml:space="preserve"> </w:t>
      </w:r>
    </w:p>
    <w:p w:rsidR="00000000" w:rsidDel="00000000" w:rsidP="00000000" w:rsidRDefault="00000000" w:rsidRPr="00000000" w14:paraId="00000006">
      <w:pPr>
        <w:rPr>
          <w:b w:val="1"/>
          <w:color w:val="333333"/>
          <w:sz w:val="22"/>
          <w:szCs w:val="22"/>
        </w:rPr>
      </w:pPr>
      <w:r w:rsidDel="00000000" w:rsidR="00000000" w:rsidRPr="00000000">
        <w:rPr>
          <w:b w:val="1"/>
          <w:color w:val="333333"/>
          <w:sz w:val="22"/>
          <w:szCs w:val="22"/>
          <w:rtl w:val="0"/>
        </w:rPr>
        <w:t xml:space="preserve">As part of our procurement or renewal process, we require a</w:t>
      </w:r>
      <w:hyperlink r:id="rId6">
        <w:r w:rsidDel="00000000" w:rsidR="00000000" w:rsidRPr="00000000">
          <w:rPr>
            <w:b w:val="1"/>
            <w:color w:val="333333"/>
            <w:sz w:val="22"/>
            <w:szCs w:val="22"/>
            <w:rtl w:val="0"/>
          </w:rPr>
          <w:t xml:space="preserve"> </w:t>
        </w:r>
      </w:hyperlink>
      <w:hyperlink r:id="rId7">
        <w:r w:rsidDel="00000000" w:rsidR="00000000" w:rsidRPr="00000000">
          <w:rPr>
            <w:b w:val="1"/>
            <w:color w:val="0000ff"/>
            <w:sz w:val="22"/>
            <w:szCs w:val="22"/>
            <w:u w:val="single"/>
            <w:rtl w:val="0"/>
          </w:rPr>
          <w:t xml:space="preserve">VPAT</w:t>
        </w:r>
      </w:hyperlink>
      <w:r w:rsidDel="00000000" w:rsidR="00000000" w:rsidRPr="00000000">
        <w:rPr>
          <w:b w:val="1"/>
          <w:color w:val="333333"/>
          <w:sz w:val="22"/>
          <w:szCs w:val="22"/>
          <w:rtl w:val="0"/>
        </w:rPr>
        <w:t xml:space="preserve"> from all vendors.</w:t>
      </w:r>
    </w:p>
    <w:p w:rsidR="00000000" w:rsidDel="00000000" w:rsidP="00000000" w:rsidRDefault="00000000" w:rsidRPr="00000000" w14:paraId="00000007">
      <w:pPr>
        <w:rPr>
          <w:color w:val="333333"/>
          <w:sz w:val="22"/>
          <w:szCs w:val="22"/>
        </w:rPr>
      </w:pPr>
      <w:r w:rsidDel="00000000" w:rsidR="00000000" w:rsidRPr="00000000">
        <w:rPr>
          <w:color w:val="333333"/>
          <w:sz w:val="22"/>
          <w:szCs w:val="22"/>
          <w:rtl w:val="0"/>
        </w:rPr>
        <w:t xml:space="preserve"> </w:t>
      </w:r>
    </w:p>
    <w:p w:rsidR="00000000" w:rsidDel="00000000" w:rsidP="00000000" w:rsidRDefault="00000000" w:rsidRPr="00000000" w14:paraId="00000008">
      <w:pPr>
        <w:rPr>
          <w:color w:val="333333"/>
          <w:sz w:val="22"/>
          <w:szCs w:val="22"/>
        </w:rPr>
      </w:pPr>
      <w:r w:rsidDel="00000000" w:rsidR="00000000" w:rsidRPr="00000000">
        <w:rPr>
          <w:color w:val="333333"/>
          <w:sz w:val="22"/>
          <w:szCs w:val="22"/>
          <w:rtl w:val="0"/>
        </w:rPr>
        <w:t xml:space="preserve">VPATs should be high quality, which may mean recruiting a third-party professional accessibility review. Our policy calls for providing materials that are accessibility compliant at the</w:t>
      </w:r>
      <w:hyperlink r:id="rId8">
        <w:r w:rsidDel="00000000" w:rsidR="00000000" w:rsidRPr="00000000">
          <w:rPr>
            <w:color w:val="333333"/>
            <w:sz w:val="22"/>
            <w:szCs w:val="22"/>
            <w:rtl w:val="0"/>
          </w:rPr>
          <w:t xml:space="preserve"> </w:t>
        </w:r>
      </w:hyperlink>
      <w:hyperlink r:id="rId9">
        <w:r w:rsidDel="00000000" w:rsidR="00000000" w:rsidRPr="00000000">
          <w:rPr>
            <w:color w:val="0000ff"/>
            <w:sz w:val="22"/>
            <w:szCs w:val="22"/>
            <w:u w:val="single"/>
            <w:rtl w:val="0"/>
          </w:rPr>
          <w:t xml:space="preserve">WCAG AA level</w:t>
        </w:r>
      </w:hyperlink>
      <w:r w:rsidDel="00000000" w:rsidR="00000000" w:rsidRPr="00000000">
        <w:rPr>
          <w:color w:val="333333"/>
          <w:sz w:val="22"/>
          <w:szCs w:val="22"/>
          <w:rtl w:val="0"/>
        </w:rPr>
        <w:t xml:space="preserve">. Products that are not fully accessible at the AA level will still be considered based on several factors.</w:t>
      </w:r>
    </w:p>
    <w:p w:rsidR="00000000" w:rsidDel="00000000" w:rsidP="00000000" w:rsidRDefault="00000000" w:rsidRPr="00000000" w14:paraId="00000009">
      <w:pPr>
        <w:rPr>
          <w:color w:val="333333"/>
          <w:sz w:val="22"/>
          <w:szCs w:val="22"/>
        </w:rPr>
      </w:pPr>
      <w:r w:rsidDel="00000000" w:rsidR="00000000" w:rsidRPr="00000000">
        <w:rPr>
          <w:rtl w:val="0"/>
        </w:rPr>
      </w:r>
    </w:p>
    <w:p w:rsidR="00000000" w:rsidDel="00000000" w:rsidP="00000000" w:rsidRDefault="00000000" w:rsidRPr="00000000" w14:paraId="0000000A">
      <w:pPr>
        <w:rPr>
          <w:color w:val="333333"/>
          <w:sz w:val="22"/>
          <w:szCs w:val="22"/>
        </w:rPr>
      </w:pPr>
      <w:r w:rsidDel="00000000" w:rsidR="00000000" w:rsidRPr="00000000">
        <w:rPr>
          <w:color w:val="333333"/>
          <w:sz w:val="22"/>
          <w:szCs w:val="22"/>
          <w:rtl w:val="0"/>
        </w:rPr>
        <w:t xml:space="preserve">Any additional accessibility testing and documentation above and beyond a VPAT that can be shared is also appreciated and may aid our decision-making.</w:t>
      </w:r>
    </w:p>
    <w:p w:rsidR="00000000" w:rsidDel="00000000" w:rsidP="00000000" w:rsidRDefault="00000000" w:rsidRPr="00000000" w14:paraId="0000000B">
      <w:pPr>
        <w:rPr>
          <w:color w:val="333333"/>
          <w:sz w:val="22"/>
          <w:szCs w:val="22"/>
        </w:rPr>
      </w:pPr>
      <w:r w:rsidDel="00000000" w:rsidR="00000000" w:rsidRPr="00000000">
        <w:rPr>
          <w:rtl w:val="0"/>
        </w:rPr>
      </w:r>
    </w:p>
    <w:p w:rsidR="00000000" w:rsidDel="00000000" w:rsidP="00000000" w:rsidRDefault="00000000" w:rsidRPr="00000000" w14:paraId="0000000C">
      <w:pPr>
        <w:rPr>
          <w:color w:val="333333"/>
          <w:sz w:val="22"/>
          <w:szCs w:val="22"/>
        </w:rPr>
      </w:pPr>
      <w:r w:rsidDel="00000000" w:rsidR="00000000" w:rsidRPr="00000000">
        <w:rPr>
          <w:color w:val="333333"/>
          <w:sz w:val="22"/>
          <w:szCs w:val="22"/>
          <w:rtl w:val="0"/>
        </w:rPr>
        <w:t xml:space="preserve">Thank you for helping ensure usability for all of our community members.</w:t>
      </w:r>
    </w:p>
    <w:p w:rsidR="00000000" w:rsidDel="00000000" w:rsidP="00000000" w:rsidRDefault="00000000" w:rsidRPr="00000000" w14:paraId="0000000D">
      <w:pPr>
        <w:spacing w:line="260" w:lineRule="auto"/>
        <w:ind w:left="-18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0E">
      <w:pPr>
        <w:spacing w:line="260" w:lineRule="auto"/>
        <w:ind w:left="-18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0F">
      <w:pPr>
        <w:spacing w:line="260" w:lineRule="auto"/>
        <w:ind w:left="-180" w:firstLine="0"/>
        <w:rPr>
          <w:sz w:val="22"/>
          <w:szCs w:val="22"/>
          <w:highlight w:val="yellow"/>
        </w:rPr>
      </w:pPr>
      <w:r w:rsidDel="00000000" w:rsidR="00000000" w:rsidRPr="00000000">
        <w:rPr>
          <w:sz w:val="22"/>
          <w:szCs w:val="22"/>
          <w:highlight w:val="yellow"/>
          <w:rtl w:val="0"/>
        </w:rPr>
        <w:t xml:space="preserve">[Name, Role, Department]</w:t>
      </w:r>
    </w:p>
    <w:p w:rsidR="00000000" w:rsidDel="00000000" w:rsidP="00000000" w:rsidRDefault="00000000" w:rsidRPr="00000000" w14:paraId="00000010">
      <w:pPr>
        <w:spacing w:line="260" w:lineRule="auto"/>
        <w:ind w:left="-180" w:firstLine="0"/>
        <w:rPr>
          <w:sz w:val="22"/>
          <w:szCs w:val="22"/>
        </w:rPr>
      </w:pPr>
      <w:r w:rsidDel="00000000" w:rsidR="00000000" w:rsidRPr="00000000">
        <w:rPr>
          <w:sz w:val="22"/>
          <w:szCs w:val="22"/>
          <w:rtl w:val="0"/>
        </w:rPr>
        <w:t xml:space="preserve">University of Tennessee, Knoxville</w:t>
      </w:r>
    </w:p>
    <w:p w:rsidR="00000000" w:rsidDel="00000000" w:rsidP="00000000" w:rsidRDefault="00000000" w:rsidRPr="00000000" w14:paraId="00000011">
      <w:pPr>
        <w:spacing w:line="260" w:lineRule="auto"/>
        <w:ind w:left="-18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2">
      <w:pPr>
        <w:ind w:left="0" w:firstLine="0"/>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w3.org/WAI/WCAG2AA-Conformance" TargetMode="External"/><Relationship Id="rId5" Type="http://schemas.openxmlformats.org/officeDocument/2006/relationships/styles" Target="styles.xml"/><Relationship Id="rId6" Type="http://schemas.openxmlformats.org/officeDocument/2006/relationships/hyperlink" Target="https://www.section508.gov/sell/vpat" TargetMode="External"/><Relationship Id="rId7" Type="http://schemas.openxmlformats.org/officeDocument/2006/relationships/hyperlink" Target="https://www.section508.gov/sell/vpat" TargetMode="External"/><Relationship Id="rId8" Type="http://schemas.openxmlformats.org/officeDocument/2006/relationships/hyperlink" Target="https://www.w3.org/WAI/WCAG2AA-Con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