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Equally Effective Alternate Access Plan (EEAAP)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document is intended to facilitate proactive planning for equitable access to University procured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Information and Communication Technology (ICT)</w:t>
        </w:r>
      </w:hyperlink>
      <w:r w:rsidDel="00000000" w:rsidR="00000000" w:rsidRPr="00000000">
        <w:rPr>
          <w:rtl w:val="0"/>
        </w:rPr>
        <w:t xml:space="preserve"> products and services. When medium or high-impact systems, software, or processes do not fully meet accessibility requirements, this document is completed by a representative agent of the department or unit requesting procurement as part of our commitment to ensure timely and accessible access to all users. Individuals may request assistance by submitting a ticket through help.utk.edu.</w:t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ICT Vendor &amp; Product/Service Information</w:t>
      </w:r>
    </w:p>
    <w:tbl>
      <w:tblPr>
        <w:tblStyle w:val="Table1"/>
        <w:tblW w:w="1295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363"/>
        <w:gridCol w:w="7587"/>
        <w:tblGridChange w:id="0">
          <w:tblGrid>
            <w:gridCol w:w="5363"/>
            <w:gridCol w:w="7587"/>
          </w:tblGrid>
        </w:tblGridChange>
      </w:tblGrid>
      <w:tr>
        <w:trPr>
          <w:trHeight w:val="432" w:hRule="atLeast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Vendor Name &amp; Website: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Vendor Representative &amp; Contact information: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Product Name &amp; Version: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Product Description: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Describe Product Purpose: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Intended End-User &amp; Per Annum Estimate: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Lifecycle: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Requestor Information</w:t>
      </w:r>
    </w:p>
    <w:tbl>
      <w:tblPr>
        <w:tblStyle w:val="Table2"/>
        <w:tblW w:w="1295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Requestor (Individual or Unit)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Office Location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Date initiated</w:t>
            </w:r>
          </w:p>
        </w:tc>
      </w:tr>
      <w:tr>
        <w:trPr>
          <w:trHeight w:val="953" w:hRule="atLeast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1"/>
        <w:rPr/>
      </w:pPr>
      <w:r w:rsidDel="00000000" w:rsidR="00000000" w:rsidRPr="00000000">
        <w:rPr>
          <w:rtl w:val="0"/>
        </w:rPr>
        <w:t xml:space="preserve">Institutional Response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Use this table to document known product/service accessibility issues. Under the “Description of Issue” column, identify known product accessibility issue(s) from </w:t>
      </w:r>
      <w:r w:rsidDel="00000000" w:rsidR="00000000" w:rsidRPr="00000000">
        <w:rPr>
          <w:i w:val="1"/>
          <w:rtl w:val="0"/>
        </w:rPr>
        <w:t xml:space="preserve">validated</w:t>
      </w:r>
      <w:r w:rsidDel="00000000" w:rsidR="00000000" w:rsidRPr="00000000">
        <w:rPr>
          <w:rtl w:val="0"/>
        </w:rPr>
        <w:t xml:space="preserve"> vendor VPAT/Accessibility Conformance Report and/or other documentation. Then, for </w:t>
      </w:r>
      <w:r w:rsidDel="00000000" w:rsidR="00000000" w:rsidRPr="00000000">
        <w:rPr>
          <w:i w:val="1"/>
          <w:rtl w:val="0"/>
        </w:rPr>
        <w:t xml:space="preserve">each barrier</w:t>
      </w:r>
      <w:r w:rsidDel="00000000" w:rsidR="00000000" w:rsidRPr="00000000">
        <w:rPr>
          <w:rtl w:val="0"/>
        </w:rPr>
        <w:t xml:space="preserve"> identify alternative solution(s), required resources, and identify responsible parties. Add more rows as needed.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3237"/>
        <w:gridCol w:w="9713"/>
        <w:tblGridChange w:id="0">
          <w:tblGrid>
            <w:gridCol w:w="3237"/>
            <w:gridCol w:w="9713"/>
          </w:tblGrid>
        </w:tblGridChange>
      </w:tblGrid>
      <w:tr>
        <w:tc>
          <w:tcPr>
            <w:shd w:fill="f3dbdb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Accessibility Barrier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Equally Effective Alternative Access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62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shd w:fill="f3dbdb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Description of Issue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3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Alternative Solution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alternative solution.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 end user be informed of solution?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Required Resources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required campus resources to accomplish alternative solution.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8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Responsible Party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Title, and Department of parties responsible for implementation </w:t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rPr/>
      </w:pPr>
      <w:r w:rsidDel="00000000" w:rsidR="00000000" w:rsidRPr="00000000">
        <w:rPr>
          <w:rtl w:val="0"/>
        </w:rPr>
        <w:t xml:space="preserve">Accessibility Statement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The accessibility statement should be posted conspicuously wherever the end user will interact with the platform or software. Recommendations for this form can be found on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UTK Accessibility Statement Recommendations</w:t>
        </w:r>
      </w:hyperlink>
      <w:r w:rsidDel="00000000" w:rsidR="00000000" w:rsidRPr="00000000">
        <w:rPr>
          <w:rtl w:val="0"/>
        </w:rPr>
        <w:t xml:space="preserve"> document.</w:t>
      </w:r>
    </w:p>
    <w:tbl>
      <w:tblPr>
        <w:tblStyle w:val="Table5"/>
        <w:tblW w:w="1295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2950"/>
        <w:tblGridChange w:id="0">
          <w:tblGrid>
            <w:gridCol w:w="12950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Style w:val="Heading1"/>
        <w:rPr/>
      </w:pPr>
      <w:r w:rsidDel="00000000" w:rsidR="00000000" w:rsidRPr="00000000">
        <w:rPr>
          <w:rtl w:val="0"/>
        </w:rPr>
        <w:t xml:space="preserve">Accommodation Planning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If EEAAP workarounds are inadequate to provide equal access for a specific individual’s situation, an accommodation plan is necessary.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 student may need an accommodation to use the product/service…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Student Disability Services (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sds.utk.edu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product/service and the barrier that may need to be accommodated (this allows SDS to prepare for meeting accommodation needs in a timely fashion).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 faculty or staff member, member of the general public, or other non-affiliated person (visitors, vendors, guest speakers) may need an accommodation to use the product service…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the Office of Equity and Diversity (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oed.utk.edu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product/service and the barrier that may need to be accommodated (this allows OED to prepare for meeting accommodation needs in a timely fashion). </w:t>
      </w:r>
    </w:p>
    <w:p w:rsidR="00000000" w:rsidDel="00000000" w:rsidP="00000000" w:rsidRDefault="00000000" w:rsidRPr="00000000" w14:paraId="00000050">
      <w:pPr>
        <w:pStyle w:val="Heading1"/>
        <w:rPr/>
      </w:pPr>
      <w:r w:rsidDel="00000000" w:rsidR="00000000" w:rsidRPr="00000000">
        <w:rPr>
          <w:rtl w:val="0"/>
        </w:rPr>
        <w:t xml:space="preserve">Administrative Approvals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rtl w:val="0"/>
        </w:rPr>
        <w:t xml:space="preserve">By signing this request, you affirm that the plan has been reviewed and is an acceptable solution that meets UT Knoxville compliance requirements and all disability related legislation. </w:t>
      </w:r>
      <w:r w:rsidDel="00000000" w:rsidR="00000000" w:rsidRPr="00000000">
        <w:rPr>
          <w:rtl w:val="0"/>
        </w:rPr>
      </w:r>
    </w:p>
    <w:tbl>
      <w:tblPr>
        <w:tblStyle w:val="Table6"/>
        <w:tblW w:w="1295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6A0"/>
      </w:tblPr>
      <w:tblGrid>
        <w:gridCol w:w="4316"/>
        <w:gridCol w:w="4317"/>
        <w:gridCol w:w="4317"/>
        <w:tblGridChange w:id="0">
          <w:tblGrid>
            <w:gridCol w:w="4316"/>
            <w:gridCol w:w="4317"/>
            <w:gridCol w:w="4317"/>
          </w:tblGrid>
        </w:tblGridChange>
      </w:tblGrid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Name &amp; Signature 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</w:tr>
      <w:tr>
        <w:trPr>
          <w:trHeight w:val="864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Department Chair/Requestor Manager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Dean/Division Administrator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Supplemental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Applicable Disability Legislation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before="280" w:lineRule="auto"/>
        <w:ind w:left="720" w:hanging="360"/>
        <w:rPr>
          <w:rFonts w:ascii="Noto Sans Symbols" w:cs="Noto Sans Symbols" w:eastAsia="Noto Sans Symbols" w:hAnsi="Noto Sans Symbols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Section 504 of the Rehabilitation Act of 1973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</w:t>
      </w:r>
      <w:hyperlink r:id="rId12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Section 508 of the Rehabilitation Act of 1973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before="0" w:lineRule="auto"/>
        <w:ind w:left="720" w:hanging="360"/>
        <w:rPr>
          <w:rFonts w:ascii="Noto Sans Symbols" w:cs="Noto Sans Symbols" w:eastAsia="Noto Sans Symbols" w:hAnsi="Noto Sans Symbols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The Americans with Disabilities Act (ADA)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280" w:before="0" w:lineRule="auto"/>
        <w:ind w:left="720" w:hanging="360"/>
        <w:rPr>
          <w:rFonts w:ascii="Noto Sans Symbols" w:cs="Noto Sans Symbols" w:eastAsia="Noto Sans Symbols" w:hAnsi="Noto Sans Symbols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UT System Accessibility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rPr/>
      </w:pPr>
      <w:r w:rsidDel="00000000" w:rsidR="00000000" w:rsidRPr="00000000">
        <w:rPr>
          <w:rtl w:val="0"/>
        </w:rPr>
        <w:t xml:space="preserve">Document Revision &amp; Control </w:t>
      </w:r>
    </w:p>
    <w:tbl>
      <w:tblPr>
        <w:tblStyle w:val="Table7"/>
        <w:tblW w:w="1295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680"/>
      </w:tblPr>
      <w:tblGrid>
        <w:gridCol w:w="3595"/>
        <w:gridCol w:w="9355"/>
        <w:tblGridChange w:id="0">
          <w:tblGrid>
            <w:gridCol w:w="3595"/>
            <w:gridCol w:w="93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Date of EEAAP Creation: 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Next Scheduled Review (Annual):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1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EEAAP Revision and Update Log: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headerReference r:id="rId15" w:type="first"/>
      <w:footerReference r:id="rId16" w:type="first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76717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767171"/>
        <w:sz w:val="24"/>
        <w:szCs w:val="24"/>
        <w:u w:val="none"/>
        <w:shd w:fill="auto" w:val="clear"/>
        <w:vertAlign w:val="baseline"/>
        <w:rtl w:val="0"/>
      </w:rPr>
      <w:t xml:space="preserve">This document was adapted from EEAAP 2.1 California State University Accessible Technology Network under a CC-BY-NC-SA license.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43953" cy="463602"/>
          <wp:effectExtent b="0" l="0" r="0" t="0"/>
          <wp:docPr descr="The University of Tennessee, Knoxville Logo" id="5" name="image1.png"/>
          <a:graphic>
            <a:graphicData uri="http://schemas.openxmlformats.org/drawingml/2006/picture">
              <pic:pic>
                <pic:nvPicPr>
                  <pic:cNvPr descr="The University of Tennessee, Knoxville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953" cy="4636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340B7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E4EBE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1" w:customStyle="1">
    <w:name w:val="Heading #3|1_"/>
    <w:basedOn w:val="DefaultParagraphFont"/>
    <w:link w:val="Heading310"/>
    <w:rsid w:val="00DA5407"/>
    <w:rPr>
      <w:rFonts w:ascii="Default Metrics Font" w:cs="Default Metrics Font" w:eastAsia="Default Metrics Font" w:hAnsi="Default Metrics Font"/>
      <w:b w:val="1"/>
      <w:bCs w:val="1"/>
      <w:sz w:val="26"/>
      <w:szCs w:val="26"/>
      <w:shd w:color="auto" w:fill="ffffff" w:val="clear"/>
    </w:rPr>
  </w:style>
  <w:style w:type="character" w:styleId="Bodytext1" w:customStyle="1">
    <w:name w:val="Body text|1_"/>
    <w:basedOn w:val="DefaultParagraphFont"/>
    <w:link w:val="Bodytext10"/>
    <w:rsid w:val="00DA5407"/>
    <w:rPr>
      <w:rFonts w:ascii="Default Metrics Font" w:cs="Default Metrics Font" w:eastAsia="Default Metrics Font" w:hAnsi="Default Metrics Font"/>
      <w:sz w:val="17"/>
      <w:szCs w:val="17"/>
      <w:shd w:color="auto" w:fill="ffffff" w:val="clear"/>
    </w:rPr>
  </w:style>
  <w:style w:type="paragraph" w:styleId="Heading310" w:customStyle="1">
    <w:name w:val="Heading #3|1"/>
    <w:basedOn w:val="Normal"/>
    <w:link w:val="Heading31"/>
    <w:rsid w:val="00DA5407"/>
    <w:pPr>
      <w:widowControl w:val="0"/>
      <w:shd w:color="auto" w:fill="ffffff" w:val="clear"/>
      <w:spacing w:after="140"/>
      <w:ind w:firstLine="280"/>
      <w:outlineLvl w:val="2"/>
    </w:pPr>
    <w:rPr>
      <w:rFonts w:ascii="Default Metrics Font" w:cs="Default Metrics Font" w:eastAsia="Default Metrics Font" w:hAnsi="Default Metrics Font"/>
      <w:b w:val="1"/>
      <w:bCs w:val="1"/>
      <w:sz w:val="26"/>
      <w:szCs w:val="26"/>
    </w:rPr>
  </w:style>
  <w:style w:type="paragraph" w:styleId="Bodytext10" w:customStyle="1">
    <w:name w:val="Body text|1"/>
    <w:basedOn w:val="Normal"/>
    <w:link w:val="Bodytext1"/>
    <w:rsid w:val="00DA5407"/>
    <w:pPr>
      <w:widowControl w:val="0"/>
      <w:shd w:color="auto" w:fill="ffffff" w:val="clear"/>
      <w:spacing w:after="220"/>
    </w:pPr>
    <w:rPr>
      <w:rFonts w:ascii="Default Metrics Font" w:cs="Default Metrics Font" w:eastAsia="Default Metrics Font" w:hAnsi="Default Metrics Font"/>
      <w:sz w:val="17"/>
      <w:szCs w:val="17"/>
    </w:rPr>
  </w:style>
  <w:style w:type="character" w:styleId="Hyperlink">
    <w:name w:val="Hyperlink"/>
    <w:basedOn w:val="DefaultParagraphFont"/>
    <w:uiPriority w:val="99"/>
    <w:unhideWhenUsed w:val="1"/>
    <w:rsid w:val="00DA5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A5407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3340B7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340B7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340B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6AA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ther1" w:customStyle="1">
    <w:name w:val="Other|1_"/>
    <w:basedOn w:val="DefaultParagraphFont"/>
    <w:link w:val="Other10"/>
    <w:rsid w:val="00D62793"/>
    <w:rPr>
      <w:rFonts w:ascii="Default Metrics Font" w:cs="Default Metrics Font" w:eastAsia="Default Metrics Font" w:hAnsi="Default Metrics Font"/>
      <w:sz w:val="17"/>
      <w:szCs w:val="17"/>
      <w:shd w:color="auto" w:fill="ffffff" w:val="clear"/>
    </w:rPr>
  </w:style>
  <w:style w:type="paragraph" w:styleId="Other10" w:customStyle="1">
    <w:name w:val="Other|1"/>
    <w:basedOn w:val="Normal"/>
    <w:link w:val="Other1"/>
    <w:rsid w:val="00D62793"/>
    <w:pPr>
      <w:widowControl w:val="0"/>
      <w:shd w:color="auto" w:fill="ffffff" w:val="clear"/>
      <w:spacing w:after="220"/>
    </w:pPr>
    <w:rPr>
      <w:rFonts w:ascii="Default Metrics Font" w:cs="Default Metrics Font" w:eastAsia="Default Metrics Font" w:hAnsi="Default Metrics Font"/>
      <w:sz w:val="17"/>
      <w:szCs w:val="17"/>
    </w:rPr>
  </w:style>
  <w:style w:type="paragraph" w:styleId="ListParagraph">
    <w:name w:val="List Paragraph"/>
    <w:basedOn w:val="Normal"/>
    <w:uiPriority w:val="34"/>
    <w:qFormat w:val="1"/>
    <w:rsid w:val="006B1254"/>
    <w:pPr>
      <w:ind w:left="720"/>
      <w:contextualSpacing w:val="1"/>
    </w:pPr>
  </w:style>
  <w:style w:type="table" w:styleId="GridTable2">
    <w:name w:val="Grid Table 2"/>
    <w:basedOn w:val="TableNormal"/>
    <w:uiPriority w:val="47"/>
    <w:rsid w:val="00F74110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">
    <w:name w:val="Grid Table 6 Colorful"/>
    <w:basedOn w:val="TableNormal"/>
    <w:uiPriority w:val="51"/>
    <w:rsid w:val="00F74110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NormalWeb">
    <w:name w:val="Normal (Web)"/>
    <w:basedOn w:val="Normal"/>
    <w:uiPriority w:val="99"/>
    <w:unhideWhenUsed w:val="1"/>
    <w:rsid w:val="00F74110"/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4733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4733"/>
    <w:rPr>
      <w:rFonts w:ascii="Times New Roman" w:cs="Times New Roman" w:hAnsi="Times New Roman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F8565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56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8565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5654"/>
    <w:rPr>
      <w:rFonts w:eastAsiaTheme="minorEastAsia"/>
    </w:rPr>
  </w:style>
  <w:style w:type="character" w:styleId="Heading2Char" w:customStyle="1">
    <w:name w:val="Heading 2 Char"/>
    <w:basedOn w:val="DefaultParagraphFont"/>
    <w:link w:val="Heading2"/>
    <w:uiPriority w:val="9"/>
    <w:rsid w:val="005E4EBE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GridTable4">
    <w:name w:val="Grid Table 4"/>
    <w:basedOn w:val="TableNormal"/>
    <w:uiPriority w:val="49"/>
    <w:rsid w:val="00D63F89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63F8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cBorders>
        <w:shd w:fill="000000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ederalregister.gov/documents/2012/03/14/2012-6122/discrimination-on-the-basis-of-disability-in-federally-assisted-programs-and-activities" TargetMode="External"/><Relationship Id="rId10" Type="http://schemas.openxmlformats.org/officeDocument/2006/relationships/hyperlink" Target="http://oed.utk.edu/" TargetMode="External"/><Relationship Id="rId13" Type="http://schemas.openxmlformats.org/officeDocument/2006/relationships/hyperlink" Target="https://www.ada.gov/2010_regs.htm" TargetMode="External"/><Relationship Id="rId12" Type="http://schemas.openxmlformats.org/officeDocument/2006/relationships/hyperlink" Target="https://www.section508.gov/manage/laws-and-polici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ds.utk.edu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universitytennessee.policytech.com/dotNet/documents/?docid=165&amp;public=true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ederalregister.gov/documents/2017/01/18/2017-00395/information-and-communication-technology-ict-standards-and-guidelines#p-373" TargetMode="External"/><Relationship Id="rId8" Type="http://schemas.openxmlformats.org/officeDocument/2006/relationships/hyperlink" Target="https://drive.google.com/file/d/1lnfCl9CWyZb3OBp3c16ARAasj1_cxEJg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p/3msFvjJvQmX4Kl7JXF9oZBg==">AMUW2mWfTujbDCtU33pm3dlvv7BUVYPN+fkTXHxeMSgjUJv1cXPOoyUf6CPQ0jAph5+bpcqO/Zepa69Hi+NSO7t6Xs69pI99YiDmSyHt58tnhp1etlbl0IsLslsUyPssslv7HGn0fN8ew5qo0eny7JcmhOb4y3T6wg==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2020-10-21T18:35:00Z</dcterms:created>
  <dc:creator>Eric Moore</dc:creator>
</cp:coreProperties>
</file>